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B4" w:rsidRDefault="004B0DFF" w:rsidP="002646AE">
      <w:pPr>
        <w:snapToGrid w:val="0"/>
        <w:spacing w:beforeLines="5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浑南有轨电车</w:t>
      </w:r>
      <w:r w:rsidR="009D3B8F">
        <w:rPr>
          <w:rFonts w:asciiTheme="majorEastAsia" w:eastAsiaTheme="majorEastAsia" w:hAnsiTheme="majorEastAsia" w:hint="eastAsia"/>
          <w:b/>
          <w:sz w:val="44"/>
          <w:szCs w:val="44"/>
        </w:rPr>
        <w:t>喷漆库</w:t>
      </w:r>
      <w:r w:rsidR="002A06B4">
        <w:rPr>
          <w:rFonts w:asciiTheme="majorEastAsia" w:eastAsiaTheme="majorEastAsia" w:hAnsiTheme="majorEastAsia" w:hint="eastAsia"/>
          <w:b/>
          <w:sz w:val="44"/>
          <w:szCs w:val="44"/>
        </w:rPr>
        <w:t>设备</w:t>
      </w:r>
    </w:p>
    <w:p w:rsidR="00410732" w:rsidRDefault="002A06B4" w:rsidP="002646AE">
      <w:pPr>
        <w:snapToGrid w:val="0"/>
        <w:spacing w:beforeLines="5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维修</w:t>
      </w:r>
      <w:r w:rsidR="004B0DFF">
        <w:rPr>
          <w:rFonts w:asciiTheme="majorEastAsia" w:eastAsiaTheme="majorEastAsia" w:hAnsiTheme="majorEastAsia" w:hint="eastAsia"/>
          <w:b/>
          <w:sz w:val="44"/>
          <w:szCs w:val="44"/>
        </w:rPr>
        <w:t>委外服务要求</w:t>
      </w:r>
    </w:p>
    <w:p w:rsidR="00410732" w:rsidRDefault="004B0DFF" w:rsidP="002646AE">
      <w:pPr>
        <w:snapToGrid w:val="0"/>
        <w:spacing w:beforeLines="50"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一、工程概况</w:t>
      </w:r>
    </w:p>
    <w:p w:rsidR="00747A39" w:rsidRDefault="00FC7462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C7462">
        <w:rPr>
          <w:rFonts w:ascii="仿宋" w:eastAsia="仿宋" w:hAnsi="仿宋" w:hint="eastAsia"/>
          <w:sz w:val="32"/>
          <w:szCs w:val="32"/>
        </w:rPr>
        <w:t>沈阳市浑南新区现代有轨</w:t>
      </w:r>
      <w:r w:rsidRPr="004A60B9">
        <w:rPr>
          <w:rFonts w:ascii="仿宋" w:eastAsia="仿宋" w:hAnsi="仿宋" w:hint="eastAsia"/>
          <w:sz w:val="32"/>
          <w:szCs w:val="32"/>
        </w:rPr>
        <w:t>电车喷漆</w:t>
      </w:r>
      <w:r w:rsidR="006F0553" w:rsidRPr="004A60B9">
        <w:rPr>
          <w:rFonts w:ascii="仿宋" w:eastAsia="仿宋" w:hAnsi="仿宋" w:hint="eastAsia"/>
          <w:sz w:val="32"/>
          <w:szCs w:val="32"/>
        </w:rPr>
        <w:t>库</w:t>
      </w:r>
      <w:r w:rsidRPr="004A60B9">
        <w:rPr>
          <w:rFonts w:ascii="仿宋" w:eastAsia="仿宋" w:hAnsi="仿宋" w:hint="eastAsia"/>
          <w:sz w:val="32"/>
          <w:szCs w:val="32"/>
        </w:rPr>
        <w:t>设</w:t>
      </w:r>
      <w:r w:rsidRPr="00FC7462">
        <w:rPr>
          <w:rFonts w:ascii="仿宋" w:eastAsia="仿宋" w:hAnsi="仿宋" w:hint="eastAsia"/>
          <w:sz w:val="32"/>
          <w:szCs w:val="32"/>
        </w:rPr>
        <w:t>备</w:t>
      </w:r>
      <w:r w:rsidR="004A60B9">
        <w:rPr>
          <w:rFonts w:ascii="仿宋" w:eastAsia="仿宋" w:hAnsi="仿宋" w:hint="eastAsia"/>
          <w:sz w:val="32"/>
          <w:szCs w:val="32"/>
        </w:rPr>
        <w:t>因淋雨致使电气元件不同程度受损</w:t>
      </w:r>
      <w:r w:rsidRPr="00FC7462">
        <w:rPr>
          <w:rFonts w:ascii="仿宋" w:eastAsia="仿宋" w:hAnsi="仿宋" w:hint="eastAsia"/>
          <w:sz w:val="32"/>
          <w:szCs w:val="32"/>
        </w:rPr>
        <w:t>，为保证设备的正常使用，</w:t>
      </w:r>
      <w:proofErr w:type="gramStart"/>
      <w:r w:rsidR="004A60B9">
        <w:rPr>
          <w:rFonts w:ascii="仿宋" w:eastAsia="仿宋" w:hAnsi="仿宋" w:hint="eastAsia"/>
          <w:sz w:val="32"/>
          <w:szCs w:val="32"/>
        </w:rPr>
        <w:t>特</w:t>
      </w:r>
      <w:proofErr w:type="gramEnd"/>
      <w:r w:rsidR="004A60B9">
        <w:rPr>
          <w:rFonts w:ascii="仿宋" w:eastAsia="仿宋" w:hAnsi="仿宋" w:hint="eastAsia"/>
          <w:sz w:val="32"/>
          <w:szCs w:val="32"/>
        </w:rPr>
        <w:t>拟</w:t>
      </w:r>
      <w:r w:rsidR="000A1156">
        <w:rPr>
          <w:rFonts w:ascii="仿宋" w:eastAsia="仿宋" w:hAnsi="仿宋" w:hint="eastAsia"/>
          <w:sz w:val="32"/>
          <w:szCs w:val="32"/>
        </w:rPr>
        <w:t>此修复方案。该修复方案主要采用</w:t>
      </w:r>
      <w:proofErr w:type="gramStart"/>
      <w:r w:rsidR="000A1156">
        <w:rPr>
          <w:rFonts w:ascii="仿宋" w:eastAsia="仿宋" w:hAnsi="仿宋" w:hint="eastAsia"/>
          <w:sz w:val="32"/>
          <w:szCs w:val="32"/>
        </w:rPr>
        <w:t>实检实修的</w:t>
      </w:r>
      <w:proofErr w:type="gramEnd"/>
      <w:r w:rsidR="000A1156">
        <w:rPr>
          <w:rFonts w:ascii="仿宋" w:eastAsia="仿宋" w:hAnsi="仿宋" w:hint="eastAsia"/>
          <w:sz w:val="32"/>
          <w:szCs w:val="32"/>
        </w:rPr>
        <w:t>策略，即现场对设备整体及功能进行检查后修复，修复可恢复故障，更新无法修复零部件</w:t>
      </w:r>
      <w:r w:rsidRPr="00FC7462">
        <w:rPr>
          <w:rFonts w:ascii="仿宋" w:eastAsia="仿宋" w:hAnsi="仿宋" w:hint="eastAsia"/>
          <w:sz w:val="32"/>
          <w:szCs w:val="32"/>
        </w:rPr>
        <w:t>，</w:t>
      </w:r>
      <w:r w:rsidR="000A1156">
        <w:rPr>
          <w:rFonts w:ascii="仿宋" w:eastAsia="仿宋" w:hAnsi="仿宋" w:hint="eastAsia"/>
          <w:sz w:val="32"/>
          <w:szCs w:val="32"/>
        </w:rPr>
        <w:t>恢复</w:t>
      </w:r>
      <w:r w:rsidRPr="00FC7462">
        <w:rPr>
          <w:rFonts w:ascii="仿宋" w:eastAsia="仿宋" w:hAnsi="仿宋" w:hint="eastAsia"/>
          <w:sz w:val="32"/>
          <w:szCs w:val="32"/>
        </w:rPr>
        <w:t>设备的正常</w:t>
      </w:r>
      <w:r w:rsidR="00747A39">
        <w:rPr>
          <w:rFonts w:ascii="仿宋" w:eastAsia="仿宋" w:hAnsi="仿宋" w:hint="eastAsia"/>
          <w:sz w:val="32"/>
          <w:szCs w:val="32"/>
        </w:rPr>
        <w:t>功能</w:t>
      </w:r>
      <w:r w:rsidR="004B0DFF">
        <w:rPr>
          <w:rFonts w:ascii="仿宋" w:eastAsia="仿宋" w:hAnsi="仿宋" w:hint="eastAsia"/>
          <w:sz w:val="32"/>
          <w:szCs w:val="32"/>
        </w:rPr>
        <w:t>。</w:t>
      </w:r>
    </w:p>
    <w:p w:rsidR="00410732" w:rsidRDefault="00747A39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具体技术条件如下</w:t>
      </w:r>
      <w:r w:rsidR="004B0DFF">
        <w:rPr>
          <w:rFonts w:ascii="仿宋" w:eastAsia="仿宋" w:hAnsi="仿宋" w:hint="eastAsia"/>
          <w:sz w:val="32"/>
          <w:szCs w:val="32"/>
        </w:rPr>
        <w:t>：</w:t>
      </w:r>
    </w:p>
    <w:p w:rsidR="00410732" w:rsidRDefault="004B0DFF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5D623F" w:rsidRPr="005D623F">
        <w:rPr>
          <w:rFonts w:ascii="仿宋" w:eastAsia="仿宋" w:hAnsi="仿宋" w:hint="eastAsia"/>
          <w:sz w:val="32"/>
          <w:szCs w:val="32"/>
        </w:rPr>
        <w:t xml:space="preserve"> </w:t>
      </w:r>
      <w:r w:rsidR="005D623F">
        <w:rPr>
          <w:rFonts w:ascii="仿宋" w:eastAsia="仿宋" w:hAnsi="仿宋" w:hint="eastAsia"/>
          <w:sz w:val="32"/>
          <w:szCs w:val="32"/>
        </w:rPr>
        <w:t>基础数据</w:t>
      </w:r>
    </w:p>
    <w:p w:rsidR="006A5E6B" w:rsidRPr="006A5E6B" w:rsidRDefault="006A5E6B" w:rsidP="002646AE">
      <w:pPr>
        <w:pStyle w:val="a9"/>
        <w:numPr>
          <w:ilvl w:val="0"/>
          <w:numId w:val="1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喷漆</w:t>
      </w:r>
      <w:proofErr w:type="gramStart"/>
      <w:r w:rsidRPr="006A5E6B">
        <w:rPr>
          <w:rFonts w:ascii="仿宋" w:eastAsia="仿宋" w:hAnsi="仿宋" w:hint="eastAsia"/>
          <w:sz w:val="32"/>
          <w:szCs w:val="32"/>
        </w:rPr>
        <w:t>库最大</w:t>
      </w:r>
      <w:proofErr w:type="gramEnd"/>
      <w:r w:rsidRPr="006A5E6B">
        <w:rPr>
          <w:rFonts w:ascii="仿宋" w:eastAsia="仿宋" w:hAnsi="仿宋" w:hint="eastAsia"/>
          <w:sz w:val="32"/>
          <w:szCs w:val="32"/>
        </w:rPr>
        <w:t>外形尺寸：</w:t>
      </w:r>
    </w:p>
    <w:p w:rsidR="006A5E6B" w:rsidRPr="006A5E6B" w:rsidRDefault="006A5E6B" w:rsidP="002646AE">
      <w:pPr>
        <w:pStyle w:val="a9"/>
        <w:snapToGrid w:val="0"/>
        <w:spacing w:beforeLines="50" w:line="360" w:lineRule="auto"/>
        <w:ind w:left="1060" w:firstLineChars="0" w:firstLine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29520×W2650×H3610mm；</w:t>
      </w:r>
    </w:p>
    <w:p w:rsidR="006A5E6B" w:rsidRPr="006A5E6B" w:rsidRDefault="006A5E6B" w:rsidP="002646AE">
      <w:pPr>
        <w:pStyle w:val="a9"/>
        <w:snapToGrid w:val="0"/>
        <w:spacing w:beforeLines="50" w:line="360" w:lineRule="auto"/>
        <w:ind w:left="1060" w:firstLineChars="0" w:firstLine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35000×W2650×H3600mm</w:t>
      </w:r>
      <w:r w:rsidR="008A6734">
        <w:rPr>
          <w:rFonts w:ascii="仿宋" w:eastAsia="仿宋" w:hAnsi="仿宋" w:hint="eastAsia"/>
          <w:sz w:val="32"/>
          <w:szCs w:val="32"/>
        </w:rPr>
        <w:t>。</w:t>
      </w:r>
    </w:p>
    <w:p w:rsidR="006A5E6B" w:rsidRPr="006A5E6B" w:rsidRDefault="006A5E6B" w:rsidP="002646AE">
      <w:pPr>
        <w:pStyle w:val="a9"/>
        <w:numPr>
          <w:ilvl w:val="0"/>
          <w:numId w:val="1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喷涂方式：工件固定，操作者通过三维工作台手工喷涂。</w:t>
      </w:r>
    </w:p>
    <w:p w:rsidR="006A5E6B" w:rsidRPr="006A5E6B" w:rsidRDefault="006A5E6B" w:rsidP="002646AE">
      <w:pPr>
        <w:pStyle w:val="a9"/>
        <w:numPr>
          <w:ilvl w:val="0"/>
          <w:numId w:val="1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喷漆室内控制风速：0.38～0.67m/s可调。</w:t>
      </w:r>
    </w:p>
    <w:p w:rsidR="006A5E6B" w:rsidRPr="006A5E6B" w:rsidRDefault="006A5E6B" w:rsidP="002646AE">
      <w:pPr>
        <w:pStyle w:val="a9"/>
        <w:numPr>
          <w:ilvl w:val="0"/>
          <w:numId w:val="1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室内照明度：≥600Lx。</w:t>
      </w:r>
    </w:p>
    <w:p w:rsidR="006A5E6B" w:rsidRPr="006A5E6B" w:rsidRDefault="006A5E6B" w:rsidP="002646AE">
      <w:pPr>
        <w:pStyle w:val="a9"/>
        <w:numPr>
          <w:ilvl w:val="0"/>
          <w:numId w:val="1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漆雾净化效率不低于95%。</w:t>
      </w:r>
    </w:p>
    <w:p w:rsidR="006A5E6B" w:rsidRPr="006A5E6B" w:rsidRDefault="006A5E6B" w:rsidP="002646AE">
      <w:pPr>
        <w:pStyle w:val="a9"/>
        <w:numPr>
          <w:ilvl w:val="0"/>
          <w:numId w:val="1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lastRenderedPageBreak/>
        <w:t>加热方式采用电加热，烘干温度为60℃。</w:t>
      </w:r>
    </w:p>
    <w:p w:rsidR="006A5E6B" w:rsidRPr="006A5E6B" w:rsidRDefault="006A5E6B" w:rsidP="002646AE">
      <w:pPr>
        <w:pStyle w:val="a9"/>
        <w:numPr>
          <w:ilvl w:val="0"/>
          <w:numId w:val="1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喷漆室内喷漆温度：18℃以上（按冬季最冷－10℃）。</w:t>
      </w:r>
    </w:p>
    <w:p w:rsidR="00410732" w:rsidRPr="006A5E6B" w:rsidRDefault="006A5E6B" w:rsidP="002646AE">
      <w:pPr>
        <w:pStyle w:val="a9"/>
        <w:numPr>
          <w:ilvl w:val="0"/>
          <w:numId w:val="1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设备声源点等效声级噪声值≤80dB。</w:t>
      </w:r>
    </w:p>
    <w:p w:rsidR="00410732" w:rsidRDefault="0029794A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812BBE">
        <w:rPr>
          <w:rFonts w:ascii="仿宋" w:eastAsia="仿宋" w:hAnsi="仿宋" w:hint="eastAsia"/>
          <w:sz w:val="32"/>
          <w:szCs w:val="32"/>
        </w:rPr>
        <w:t>结构与功能</w:t>
      </w:r>
    </w:p>
    <w:p w:rsidR="0029794A" w:rsidRPr="0029794A" w:rsidRDefault="0029794A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设备具有喷漆和烘干功能：喷漆时设备具有通风、空气净化、漆雾处理及冬季送热风功能；喷漆后车辆原位烘干，也可对车体腻子进行烘干，烘干温度≤60℃，烘干状态下具有升温、保温、恒温定时功能。</w:t>
      </w:r>
    </w:p>
    <w:p w:rsidR="0029794A" w:rsidRPr="0029794A" w:rsidRDefault="0029794A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设备由室体、</w:t>
      </w:r>
      <w:proofErr w:type="gramStart"/>
      <w:r w:rsidRPr="0029794A">
        <w:rPr>
          <w:rFonts w:ascii="仿宋" w:eastAsia="仿宋" w:hAnsi="仿宋" w:hint="eastAsia"/>
          <w:sz w:val="32"/>
          <w:szCs w:val="32"/>
        </w:rPr>
        <w:t>供风系统</w:t>
      </w:r>
      <w:proofErr w:type="gramEnd"/>
      <w:r w:rsidRPr="0029794A">
        <w:rPr>
          <w:rFonts w:ascii="仿宋" w:eastAsia="仿宋" w:hAnsi="仿宋" w:hint="eastAsia"/>
          <w:sz w:val="32"/>
          <w:szCs w:val="32"/>
        </w:rPr>
        <w:t>、排风及漆雾处理系统、压力检测系统、可燃气体监测报警系统、三维工作台、电控系统及消防设施组成。</w:t>
      </w:r>
    </w:p>
    <w:p w:rsidR="0029794A" w:rsidRPr="0029794A" w:rsidRDefault="0029794A" w:rsidP="002646AE">
      <w:pPr>
        <w:pStyle w:val="a9"/>
        <w:numPr>
          <w:ilvl w:val="0"/>
          <w:numId w:val="2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分段送风</w:t>
      </w:r>
    </w:p>
    <w:p w:rsidR="0029794A" w:rsidRPr="0029794A" w:rsidRDefault="0029794A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台位截面尺寸为L40000×W5600mm，根据要求喷漆房采用滚动送排风，将</w:t>
      </w:r>
      <w:proofErr w:type="gramStart"/>
      <w:r w:rsidRPr="0029794A">
        <w:rPr>
          <w:rFonts w:ascii="仿宋" w:eastAsia="仿宋" w:hAnsi="仿宋" w:hint="eastAsia"/>
          <w:sz w:val="32"/>
          <w:szCs w:val="32"/>
        </w:rPr>
        <w:t>静压室</w:t>
      </w:r>
      <w:proofErr w:type="gramEnd"/>
      <w:r w:rsidRPr="0029794A">
        <w:rPr>
          <w:rFonts w:ascii="仿宋" w:eastAsia="仿宋" w:hAnsi="仿宋" w:hint="eastAsia"/>
          <w:sz w:val="32"/>
          <w:szCs w:val="32"/>
        </w:rPr>
        <w:t>和排风沟分成八个独立的单元，送排风系统的风量满足两个工作段的使用要求。喷漆时通过风阀转换实现分段送排风，保证二段同时处于工作状态；烤漆时，</w:t>
      </w:r>
      <w:proofErr w:type="gramStart"/>
      <w:r w:rsidRPr="0029794A">
        <w:rPr>
          <w:rFonts w:ascii="仿宋" w:eastAsia="仿宋" w:hAnsi="仿宋" w:hint="eastAsia"/>
          <w:sz w:val="32"/>
          <w:szCs w:val="32"/>
        </w:rPr>
        <w:t>静压室</w:t>
      </w:r>
      <w:proofErr w:type="gramEnd"/>
      <w:r w:rsidRPr="0029794A">
        <w:rPr>
          <w:rFonts w:ascii="仿宋" w:eastAsia="仿宋" w:hAnsi="仿宋" w:hint="eastAsia"/>
          <w:sz w:val="32"/>
          <w:szCs w:val="32"/>
        </w:rPr>
        <w:t>和排风沟的风阀全部打开，使送排风系统同时处于循环加热的工作状态。</w:t>
      </w:r>
    </w:p>
    <w:p w:rsidR="0029794A" w:rsidRPr="0029794A" w:rsidRDefault="0029794A" w:rsidP="002646AE">
      <w:pPr>
        <w:pStyle w:val="a9"/>
        <w:numPr>
          <w:ilvl w:val="0"/>
          <w:numId w:val="2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工作状况</w:t>
      </w:r>
    </w:p>
    <w:p w:rsidR="00410732" w:rsidRDefault="0029794A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设备具有分段喷漆、滚动喷漆、流平和烘干四个工作状</w:t>
      </w:r>
      <w:r w:rsidRPr="0029794A">
        <w:rPr>
          <w:rFonts w:ascii="仿宋" w:eastAsia="仿宋" w:hAnsi="仿宋" w:hint="eastAsia"/>
          <w:sz w:val="32"/>
          <w:szCs w:val="32"/>
        </w:rPr>
        <w:lastRenderedPageBreak/>
        <w:t>况。</w:t>
      </w:r>
    </w:p>
    <w:p w:rsidR="00410732" w:rsidRDefault="004B0DFF" w:rsidP="002646AE">
      <w:pPr>
        <w:snapToGrid w:val="0"/>
        <w:spacing w:beforeLines="5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二、委托服务范围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投标方的修复工作应能满足以下要求：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电气控制系统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油漆库设备配置一套电控柜，构成独立的控制系统。控制系统采用PLC控制，设备的各种检测开关信号、按钮开关信号等输入PLC，通过编制PLC用户程序，由PLC的输出口控制各执行器自动运行。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控制柜电器</w:t>
      </w:r>
    </w:p>
    <w:p w:rsidR="00D061CD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喷漆室设备修复后仍采用触摸屏+PLC可编程控制，采用可靠性高、互换性好、功能强、性能先进的FCS控制方式，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运行，具有多种保护、报警功能，不仅操作方便，而且安全可靠；</w:t>
      </w:r>
    </w:p>
    <w:p w:rsidR="00D061CD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可通过触摸屏图像模拟显示工作状态，对喷漆室的启动和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停止既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可自动控制，也可手动控制；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通过触摸屏还可对设备的运行时间、工作温度、温差、延时等参数进行设定和控制，并通过控制机组的运行实现设备的整体送风、分段送风或滚动递进送风。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控制功能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喷漆状态下，自动完成喷漆过程中包括送风机系统、排</w:t>
      </w:r>
      <w:r w:rsidRPr="006640D1">
        <w:rPr>
          <w:rFonts w:ascii="仿宋" w:eastAsia="仿宋" w:hAnsi="仿宋" w:hint="eastAsia"/>
          <w:sz w:val="32"/>
          <w:szCs w:val="32"/>
        </w:rPr>
        <w:lastRenderedPageBreak/>
        <w:t>风机系统、进风调节阀、加热系统的全部程序动作。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系统对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漆房温度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分别进行监测和自动控制，其技术指标：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测温精度：±0.5℃</w:t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  <w:t>测温范围：－30～100℃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控温精度：±1℃</w:t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  <w:t>控温范围：</w:t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  <w:t>0～80℃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工作时，首先设定温度范围、温差等参数，当温度传感器测量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值处于所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设定温度范围时，加热系统自动关闭。当传感器测量温度低于设定温度下限值时，加热系统自动启动；当传感器测量温度高于设定温度下限值时，加热器自动停止，确保喷漆室内温度均匀、恒定。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参数设定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喷漆室可设定喷漆温度、喷漆温差等多个参数。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查看测量数据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可随时查看所有的实时温度数据、输出状态、故障模式，并可随时查询历史数据。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故障报警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如果有故障，则红色闪烁显示故障名称，控制系统有多种故障报警：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a、</w:t>
      </w:r>
      <w:r w:rsidRPr="006640D1">
        <w:rPr>
          <w:rFonts w:ascii="仿宋" w:eastAsia="仿宋" w:hAnsi="仿宋" w:hint="eastAsia"/>
          <w:sz w:val="32"/>
          <w:szCs w:val="32"/>
        </w:rPr>
        <w:tab/>
        <w:t>电源缺相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b、</w:t>
      </w:r>
      <w:r w:rsidRPr="006640D1">
        <w:rPr>
          <w:rFonts w:ascii="仿宋" w:eastAsia="仿宋" w:hAnsi="仿宋" w:hint="eastAsia"/>
          <w:sz w:val="32"/>
          <w:szCs w:val="32"/>
        </w:rPr>
        <w:tab/>
        <w:t>电压过高或过低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lastRenderedPageBreak/>
        <w:t>c、</w:t>
      </w:r>
      <w:r w:rsidRPr="006640D1">
        <w:rPr>
          <w:rFonts w:ascii="仿宋" w:eastAsia="仿宋" w:hAnsi="仿宋" w:hint="eastAsia"/>
          <w:sz w:val="32"/>
          <w:szCs w:val="32"/>
        </w:rPr>
        <w:tab/>
        <w:t>排风机故障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d、</w:t>
      </w:r>
      <w:r w:rsidRPr="006640D1">
        <w:rPr>
          <w:rFonts w:ascii="仿宋" w:eastAsia="仿宋" w:hAnsi="仿宋" w:hint="eastAsia"/>
          <w:sz w:val="32"/>
          <w:szCs w:val="32"/>
        </w:rPr>
        <w:tab/>
        <w:t>送风机故障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e、</w:t>
      </w:r>
      <w:r w:rsidRPr="006640D1">
        <w:rPr>
          <w:rFonts w:ascii="仿宋" w:eastAsia="仿宋" w:hAnsi="仿宋" w:hint="eastAsia"/>
          <w:sz w:val="32"/>
          <w:szCs w:val="32"/>
        </w:rPr>
        <w:tab/>
        <w:t>风压开关报警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f、</w:t>
      </w:r>
      <w:r w:rsidRPr="006640D1">
        <w:rPr>
          <w:rFonts w:ascii="仿宋" w:eastAsia="仿宋" w:hAnsi="仿宋" w:hint="eastAsia"/>
          <w:sz w:val="32"/>
          <w:szCs w:val="32"/>
        </w:rPr>
        <w:tab/>
        <w:t>可燃气体超标报警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g、</w:t>
      </w:r>
      <w:r w:rsidRPr="006640D1">
        <w:rPr>
          <w:rFonts w:ascii="仿宋" w:eastAsia="仿宋" w:hAnsi="仿宋" w:hint="eastAsia"/>
          <w:sz w:val="32"/>
          <w:szCs w:val="32"/>
        </w:rPr>
        <w:tab/>
        <w:t>加热器故障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h、</w:t>
      </w:r>
      <w:r w:rsidRPr="006640D1">
        <w:rPr>
          <w:rFonts w:ascii="仿宋" w:eastAsia="仿宋" w:hAnsi="仿宋" w:hint="eastAsia"/>
          <w:sz w:val="32"/>
          <w:szCs w:val="32"/>
        </w:rPr>
        <w:tab/>
        <w:t>温度故障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spellStart"/>
      <w:r w:rsidRPr="006640D1">
        <w:rPr>
          <w:rFonts w:ascii="仿宋" w:eastAsia="仿宋" w:hAnsi="仿宋" w:hint="eastAsia"/>
          <w:sz w:val="32"/>
          <w:szCs w:val="32"/>
        </w:rPr>
        <w:t>i</w:t>
      </w:r>
      <w:proofErr w:type="spellEnd"/>
      <w:r w:rsidRPr="006640D1">
        <w:rPr>
          <w:rFonts w:ascii="仿宋" w:eastAsia="仿宋" w:hAnsi="仿宋" w:hint="eastAsia"/>
          <w:sz w:val="32"/>
          <w:szCs w:val="32"/>
        </w:rPr>
        <w:t>、</w:t>
      </w:r>
      <w:r w:rsidRPr="006640D1">
        <w:rPr>
          <w:rFonts w:ascii="仿宋" w:eastAsia="仿宋" w:hAnsi="仿宋" w:hint="eastAsia"/>
          <w:sz w:val="32"/>
          <w:szCs w:val="32"/>
        </w:rPr>
        <w:tab/>
        <w:t>消防报警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j、</w:t>
      </w:r>
      <w:r w:rsidRPr="006640D1">
        <w:rPr>
          <w:rFonts w:ascii="仿宋" w:eastAsia="仿宋" w:hAnsi="仿宋" w:hint="eastAsia"/>
          <w:sz w:val="32"/>
          <w:szCs w:val="32"/>
        </w:rPr>
        <w:tab/>
        <w:t>超温报警</w:t>
      </w:r>
    </w:p>
    <w:p w:rsidR="00D061CD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设备出现故障时，系统自动检测故障，并关掉有故障的设备，在故障状态不允许开机。</w:t>
      </w:r>
    </w:p>
    <w:p w:rsidR="00D061CD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在关机状态下发生废气超标时，报警启动相送排风机（注：此时不管温度高低加热不允许启动），直至恢复正常时停机；</w:t>
      </w:r>
    </w:p>
    <w:p w:rsidR="00D061CD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在开机状态即工作状态下只报警和停止加热</w:t>
      </w:r>
      <w:r w:rsidR="00D061CD">
        <w:rPr>
          <w:rFonts w:ascii="仿宋" w:eastAsia="仿宋" w:hAnsi="仿宋" w:hint="eastAsia"/>
          <w:sz w:val="32"/>
          <w:szCs w:val="32"/>
        </w:rPr>
        <w:t>；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送风机设置压差开关，时刻监视送风机工作情况，一旦故障，立即报警，防止送风机因意外情况停止工作时，出现加热器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停机引起火灾等危险。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控制系统配备有超温报警保护程序，无论何种原因引起的室内温度超高时，控制系统将自动关闭加热器，自动开启</w:t>
      </w:r>
      <w:r w:rsidRPr="006640D1">
        <w:rPr>
          <w:rFonts w:ascii="仿宋" w:eastAsia="仿宋" w:hAnsi="仿宋" w:hint="eastAsia"/>
          <w:sz w:val="32"/>
          <w:szCs w:val="32"/>
        </w:rPr>
        <w:lastRenderedPageBreak/>
        <w:t>送排风机，强制降温。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控制系统的工作方式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控制系统由控制柜及电缆电线等部分组成。控制方式有两种：自动控制和手动控制。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在总控台上设置机械应急停止按钮，在紧急情况下，可直接按动停止按钮，停止所有设备的运行，以保证人员和设备的安全。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控制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自动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、安全生产方面考虑周全，设计严密，加热器与送风机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，送风机未启动，加热器不能启动；排风机与送风机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，送风机未启动，排风机不能启动；送排风机出现故障时，加热器自动停止；停机时，首先停加热器，送排风机延时运转3-5分钟后停转。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控制系统与压力检测系统、可燃气体检测报警系统和消防自动报警系统联动，当接到报警信号时，可自动采取相应的保护措施：自动切断设备的电源和加热电源，关闭风机等。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可燃气体检测仪可与控制系统联动，喷漆室内可燃气体浓度超标时采取相应措施。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控制系统的组成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控制系统由配电柜、控制柜和电缆电线组成。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lastRenderedPageBreak/>
        <w:t>配电柜是设备的总动力柜，设有电压表、电流表、总控开关和分控开关等。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控制柜安装在喷漆室附近，由PLC、触摸屏、风机和加热器组件等组成。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控制系统主要配置如下：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a.</w:t>
      </w:r>
      <w:r w:rsidRPr="006640D1">
        <w:rPr>
          <w:rFonts w:ascii="仿宋" w:eastAsia="仿宋" w:hAnsi="仿宋" w:hint="eastAsia"/>
          <w:sz w:val="32"/>
          <w:szCs w:val="32"/>
        </w:rPr>
        <w:tab/>
        <w:t>PLC</w:t>
      </w:r>
      <w:r w:rsidRPr="006640D1">
        <w:rPr>
          <w:rFonts w:ascii="仿宋" w:eastAsia="仿宋" w:hAnsi="仿宋" w:hint="eastAsia"/>
          <w:sz w:val="32"/>
          <w:szCs w:val="32"/>
        </w:rPr>
        <w:tab/>
        <w:t>西门子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b.</w:t>
      </w:r>
      <w:r w:rsidRPr="006640D1">
        <w:rPr>
          <w:rFonts w:ascii="仿宋" w:eastAsia="仿宋" w:hAnsi="仿宋" w:hint="eastAsia"/>
          <w:sz w:val="32"/>
          <w:szCs w:val="32"/>
        </w:rPr>
        <w:tab/>
        <w:t>触摸屏</w:t>
      </w:r>
      <w:r w:rsidRPr="006640D1">
        <w:rPr>
          <w:rFonts w:ascii="仿宋" w:eastAsia="仿宋" w:hAnsi="仿宋" w:hint="eastAsia"/>
          <w:sz w:val="32"/>
          <w:szCs w:val="32"/>
        </w:rPr>
        <w:tab/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c.</w:t>
      </w:r>
      <w:r w:rsidRPr="006640D1">
        <w:rPr>
          <w:rFonts w:ascii="仿宋" w:eastAsia="仿宋" w:hAnsi="仿宋" w:hint="eastAsia"/>
          <w:sz w:val="32"/>
          <w:szCs w:val="32"/>
        </w:rPr>
        <w:tab/>
        <w:t>风机执行组件</w:t>
      </w:r>
      <w:r w:rsidRPr="006640D1">
        <w:rPr>
          <w:rFonts w:ascii="仿宋" w:eastAsia="仿宋" w:hAnsi="仿宋" w:hint="eastAsia"/>
          <w:sz w:val="32"/>
          <w:szCs w:val="32"/>
        </w:rPr>
        <w:tab/>
        <w:t>施耐德产品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d.</w:t>
      </w:r>
      <w:r w:rsidRPr="006640D1">
        <w:rPr>
          <w:rFonts w:ascii="仿宋" w:eastAsia="仿宋" w:hAnsi="仿宋" w:hint="eastAsia"/>
          <w:sz w:val="32"/>
          <w:szCs w:val="32"/>
        </w:rPr>
        <w:tab/>
        <w:t>加热器执行组件</w:t>
      </w:r>
      <w:r w:rsidRPr="006640D1">
        <w:rPr>
          <w:rFonts w:ascii="仿宋" w:eastAsia="仿宋" w:hAnsi="仿宋" w:hint="eastAsia"/>
          <w:sz w:val="32"/>
          <w:szCs w:val="32"/>
        </w:rPr>
        <w:tab/>
        <w:t>施耐德产品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e.</w:t>
      </w:r>
      <w:r w:rsidRPr="006640D1">
        <w:rPr>
          <w:rFonts w:ascii="仿宋" w:eastAsia="仿宋" w:hAnsi="仿宋" w:hint="eastAsia"/>
          <w:sz w:val="32"/>
          <w:szCs w:val="32"/>
        </w:rPr>
        <w:tab/>
        <w:t>照明控制系统</w:t>
      </w:r>
      <w:r w:rsidRPr="006640D1">
        <w:rPr>
          <w:rFonts w:ascii="仿宋" w:eastAsia="仿宋" w:hAnsi="仿宋" w:hint="eastAsia"/>
          <w:sz w:val="32"/>
          <w:szCs w:val="32"/>
        </w:rPr>
        <w:tab/>
        <w:t>LED照明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f.</w:t>
      </w:r>
      <w:r w:rsidRPr="006640D1">
        <w:rPr>
          <w:rFonts w:ascii="仿宋" w:eastAsia="仿宋" w:hAnsi="仿宋" w:hint="eastAsia"/>
          <w:sz w:val="32"/>
          <w:szCs w:val="32"/>
        </w:rPr>
        <w:tab/>
        <w:t>温度传感器</w:t>
      </w:r>
      <w:r w:rsidRPr="006640D1">
        <w:rPr>
          <w:rFonts w:ascii="仿宋" w:eastAsia="仿宋" w:hAnsi="仿宋" w:hint="eastAsia"/>
          <w:sz w:val="32"/>
          <w:szCs w:val="32"/>
        </w:rPr>
        <w:tab/>
        <w:t>Pt100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g.</w:t>
      </w:r>
      <w:r w:rsidRPr="006640D1">
        <w:rPr>
          <w:rFonts w:ascii="仿宋" w:eastAsia="仿宋" w:hAnsi="仿宋" w:hint="eastAsia"/>
          <w:sz w:val="32"/>
          <w:szCs w:val="32"/>
        </w:rPr>
        <w:tab/>
        <w:t>配电柜</w:t>
      </w:r>
      <w:r w:rsidRPr="006640D1">
        <w:rPr>
          <w:rFonts w:ascii="仿宋" w:eastAsia="仿宋" w:hAnsi="仿宋" w:hint="eastAsia"/>
          <w:sz w:val="32"/>
          <w:szCs w:val="32"/>
        </w:rPr>
        <w:tab/>
        <w:t>上海德力西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h.</w:t>
      </w:r>
      <w:r w:rsidRPr="006640D1">
        <w:rPr>
          <w:rFonts w:ascii="仿宋" w:eastAsia="仿宋" w:hAnsi="仿宋" w:hint="eastAsia"/>
          <w:sz w:val="32"/>
          <w:szCs w:val="32"/>
        </w:rPr>
        <w:tab/>
        <w:t>控制柜</w:t>
      </w:r>
      <w:r w:rsidRPr="006640D1">
        <w:rPr>
          <w:rFonts w:ascii="仿宋" w:eastAsia="仿宋" w:hAnsi="仿宋" w:hint="eastAsia"/>
          <w:sz w:val="32"/>
          <w:szCs w:val="32"/>
        </w:rPr>
        <w:tab/>
        <w:t>上海德力西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spellStart"/>
      <w:r w:rsidRPr="006640D1">
        <w:rPr>
          <w:rFonts w:ascii="仿宋" w:eastAsia="仿宋" w:hAnsi="仿宋" w:hint="eastAsia"/>
          <w:sz w:val="32"/>
          <w:szCs w:val="32"/>
        </w:rPr>
        <w:t>i</w:t>
      </w:r>
      <w:proofErr w:type="spellEnd"/>
      <w:r w:rsidRPr="006640D1">
        <w:rPr>
          <w:rFonts w:ascii="仿宋" w:eastAsia="仿宋" w:hAnsi="仿宋" w:hint="eastAsia"/>
          <w:sz w:val="32"/>
          <w:szCs w:val="32"/>
        </w:rPr>
        <w:t>.</w:t>
      </w:r>
      <w:r w:rsidRPr="006640D1">
        <w:rPr>
          <w:rFonts w:ascii="仿宋" w:eastAsia="仿宋" w:hAnsi="仿宋" w:hint="eastAsia"/>
          <w:sz w:val="32"/>
          <w:szCs w:val="32"/>
        </w:rPr>
        <w:tab/>
        <w:t>电缆电线</w:t>
      </w:r>
      <w:r w:rsidRPr="006640D1">
        <w:rPr>
          <w:rFonts w:ascii="仿宋" w:eastAsia="仿宋" w:hAnsi="仿宋" w:hint="eastAsia"/>
          <w:sz w:val="32"/>
          <w:szCs w:val="32"/>
        </w:rPr>
        <w:tab/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由控制柜接至用电设备的动力线通过线管或线槽敷设，能够有效的防止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鼠咬等破坏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设备接地符合SDJ8-79《电力设备接地设计技术规程》及GB6514有关章节要求。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所有电气设备均符合1（Q-2）级防火、防爆要求，电器</w:t>
      </w:r>
      <w:r w:rsidRPr="006640D1">
        <w:rPr>
          <w:rFonts w:ascii="仿宋" w:eastAsia="仿宋" w:hAnsi="仿宋" w:hint="eastAsia"/>
          <w:sz w:val="32"/>
          <w:szCs w:val="32"/>
        </w:rPr>
        <w:lastRenderedPageBreak/>
        <w:t>安装满足需方使用现场条件电源的要求。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变频器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检修变频器，清灰，检查接线，参数调整。</w:t>
      </w:r>
    </w:p>
    <w:p w:rsidR="00D8217D" w:rsidRPr="006640D1" w:rsidRDefault="00D8217D" w:rsidP="002646AE">
      <w:pPr>
        <w:pStyle w:val="a9"/>
        <w:numPr>
          <w:ilvl w:val="0"/>
          <w:numId w:val="3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防爆照明系统</w:t>
      </w:r>
    </w:p>
    <w:p w:rsidR="00D8217D" w:rsidRPr="006640D1" w:rsidRDefault="00D8217D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照明灯具完好</w:t>
      </w:r>
      <w:r w:rsidR="00383B21">
        <w:rPr>
          <w:rFonts w:ascii="仿宋" w:eastAsia="仿宋" w:hAnsi="仿宋" w:hint="eastAsia"/>
          <w:sz w:val="32"/>
          <w:szCs w:val="32"/>
        </w:rPr>
        <w:t>，功能正常</w:t>
      </w:r>
      <w:r w:rsidRPr="006640D1">
        <w:rPr>
          <w:rFonts w:ascii="仿宋" w:eastAsia="仿宋" w:hAnsi="仿宋" w:hint="eastAsia"/>
          <w:sz w:val="32"/>
          <w:szCs w:val="32"/>
        </w:rPr>
        <w:t>。</w:t>
      </w:r>
    </w:p>
    <w:p w:rsidR="00383B21" w:rsidRPr="00B03947" w:rsidRDefault="00383B21" w:rsidP="002646AE">
      <w:pPr>
        <w:snapToGrid w:val="0"/>
        <w:spacing w:beforeLines="50"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3947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B03947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="007B0A09" w:rsidRPr="00B03947">
        <w:rPr>
          <w:rFonts w:ascii="仿宋" w:eastAsia="仿宋" w:hAnsi="仿宋" w:hint="eastAsia"/>
          <w:b/>
          <w:bCs/>
          <w:sz w:val="32"/>
          <w:szCs w:val="32"/>
        </w:rPr>
        <w:t>服务要求</w:t>
      </w:r>
    </w:p>
    <w:p w:rsidR="00410732" w:rsidRPr="007B0A09" w:rsidRDefault="004B0DFF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投标方负责识别</w:t>
      </w:r>
      <w:r w:rsidR="007B0A09">
        <w:rPr>
          <w:rFonts w:ascii="仿宋" w:eastAsia="仿宋" w:hAnsi="仿宋" w:hint="eastAsia"/>
          <w:sz w:val="32"/>
          <w:szCs w:val="32"/>
        </w:rPr>
        <w:t>在维护</w:t>
      </w:r>
      <w:r w:rsidRPr="007B0A09">
        <w:rPr>
          <w:rFonts w:ascii="仿宋" w:eastAsia="仿宋" w:hAnsi="仿宋" w:hint="eastAsia"/>
          <w:sz w:val="32"/>
          <w:szCs w:val="32"/>
        </w:rPr>
        <w:t>过程中的潜在安全隐患，并提供相应解决方案，确保</w:t>
      </w:r>
      <w:r w:rsidR="007B0A09">
        <w:rPr>
          <w:rFonts w:ascii="仿宋" w:eastAsia="仿宋" w:hAnsi="仿宋" w:hint="eastAsia"/>
          <w:sz w:val="32"/>
          <w:szCs w:val="32"/>
        </w:rPr>
        <w:t>喷漆库设备</w:t>
      </w:r>
      <w:r w:rsidRPr="007B0A09">
        <w:rPr>
          <w:rFonts w:ascii="仿宋" w:eastAsia="仿宋" w:hAnsi="仿宋" w:hint="eastAsia"/>
          <w:sz w:val="32"/>
          <w:szCs w:val="32"/>
        </w:rPr>
        <w:t>安全运行。</w:t>
      </w:r>
    </w:p>
    <w:p w:rsidR="00410732" w:rsidRPr="007B0A09" w:rsidRDefault="004B0DFF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投标方负责配合编制</w:t>
      </w:r>
      <w:r w:rsidR="007B0A09">
        <w:rPr>
          <w:rFonts w:ascii="仿宋" w:eastAsia="仿宋" w:hAnsi="仿宋" w:hint="eastAsia"/>
          <w:sz w:val="32"/>
          <w:szCs w:val="32"/>
        </w:rPr>
        <w:t>喷漆库设备全部维护相关计划</w:t>
      </w:r>
      <w:r w:rsidRPr="007B0A09">
        <w:rPr>
          <w:rFonts w:ascii="仿宋" w:eastAsia="仿宋" w:hAnsi="仿宋" w:hint="eastAsia"/>
          <w:sz w:val="32"/>
          <w:szCs w:val="32"/>
        </w:rPr>
        <w:t>，并按时、按质、按量完成</w:t>
      </w:r>
      <w:r w:rsidR="007B0A09">
        <w:rPr>
          <w:rFonts w:ascii="仿宋" w:eastAsia="仿宋" w:hAnsi="仿宋" w:hint="eastAsia"/>
          <w:sz w:val="32"/>
          <w:szCs w:val="32"/>
        </w:rPr>
        <w:t>相应内容</w:t>
      </w:r>
      <w:r w:rsidRPr="007B0A09">
        <w:rPr>
          <w:rFonts w:ascii="仿宋" w:eastAsia="仿宋" w:hAnsi="仿宋" w:hint="eastAsia"/>
          <w:sz w:val="32"/>
          <w:szCs w:val="32"/>
        </w:rPr>
        <w:t>，按规定填写检修记录并存档，确保</w:t>
      </w:r>
      <w:r w:rsidR="007B0A09">
        <w:rPr>
          <w:rFonts w:ascii="仿宋" w:eastAsia="仿宋" w:hAnsi="仿宋" w:hint="eastAsia"/>
          <w:sz w:val="32"/>
          <w:szCs w:val="32"/>
        </w:rPr>
        <w:t>喷漆库设备</w:t>
      </w:r>
      <w:r w:rsidRPr="007B0A09">
        <w:rPr>
          <w:rFonts w:ascii="仿宋" w:eastAsia="仿宋" w:hAnsi="仿宋" w:hint="eastAsia"/>
          <w:sz w:val="32"/>
          <w:szCs w:val="32"/>
        </w:rPr>
        <w:t>良好。</w:t>
      </w:r>
    </w:p>
    <w:p w:rsidR="00410732" w:rsidRPr="007F4405" w:rsidRDefault="004B0DFF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F4405">
        <w:rPr>
          <w:rFonts w:ascii="仿宋" w:eastAsia="仿宋" w:hAnsi="仿宋" w:hint="eastAsia"/>
          <w:sz w:val="32"/>
          <w:szCs w:val="32"/>
        </w:rPr>
        <w:t>投标方</w:t>
      </w:r>
      <w:r w:rsidR="007F4405" w:rsidRPr="007F4405">
        <w:rPr>
          <w:rFonts w:ascii="仿宋" w:eastAsia="仿宋" w:hAnsi="仿宋" w:hint="eastAsia"/>
          <w:sz w:val="32"/>
          <w:szCs w:val="32"/>
        </w:rPr>
        <w:t>负责编制喷漆设备修复后的常规保养方案及故障处理指南</w:t>
      </w:r>
      <w:r w:rsidRPr="007F4405">
        <w:rPr>
          <w:rFonts w:ascii="仿宋" w:eastAsia="仿宋" w:hAnsi="仿宋" w:hint="eastAsia"/>
          <w:sz w:val="32"/>
          <w:szCs w:val="32"/>
        </w:rPr>
        <w:t>。</w:t>
      </w:r>
    </w:p>
    <w:p w:rsidR="00410732" w:rsidRPr="007B0A09" w:rsidRDefault="004B0DFF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投标方负责做好</w:t>
      </w:r>
      <w:r w:rsidR="00B03947">
        <w:rPr>
          <w:rFonts w:ascii="仿宋" w:eastAsia="仿宋" w:hAnsi="仿宋" w:hint="eastAsia"/>
          <w:sz w:val="32"/>
          <w:szCs w:val="32"/>
        </w:rPr>
        <w:t>检修</w:t>
      </w:r>
      <w:r w:rsidRPr="007B0A09">
        <w:rPr>
          <w:rFonts w:ascii="仿宋" w:eastAsia="仿宋" w:hAnsi="仿宋" w:hint="eastAsia"/>
          <w:sz w:val="32"/>
          <w:szCs w:val="32"/>
        </w:rPr>
        <w:t>物资使用记录台</w:t>
      </w:r>
      <w:proofErr w:type="gramStart"/>
      <w:r w:rsidRPr="007B0A09">
        <w:rPr>
          <w:rFonts w:ascii="仿宋" w:eastAsia="仿宋" w:hAnsi="仿宋" w:hint="eastAsia"/>
          <w:sz w:val="32"/>
          <w:szCs w:val="32"/>
        </w:rPr>
        <w:t>账</w:t>
      </w:r>
      <w:proofErr w:type="gramEnd"/>
      <w:r w:rsidRPr="007B0A09">
        <w:rPr>
          <w:rFonts w:ascii="仿宋" w:eastAsia="仿宋" w:hAnsi="仿宋" w:hint="eastAsia"/>
          <w:sz w:val="32"/>
          <w:szCs w:val="32"/>
        </w:rPr>
        <w:t>管理，</w:t>
      </w:r>
      <w:r w:rsidR="003F453C">
        <w:rPr>
          <w:rFonts w:ascii="仿宋" w:eastAsia="仿宋" w:hAnsi="仿宋" w:hint="eastAsia"/>
          <w:sz w:val="32"/>
          <w:szCs w:val="32"/>
        </w:rPr>
        <w:t>投标方提供的</w:t>
      </w:r>
      <w:proofErr w:type="gramStart"/>
      <w:r w:rsidR="003F453C">
        <w:rPr>
          <w:rFonts w:ascii="仿宋" w:eastAsia="仿宋" w:hAnsi="仿宋" w:hint="eastAsia"/>
          <w:sz w:val="32"/>
          <w:szCs w:val="32"/>
        </w:rPr>
        <w:t>物资台</w:t>
      </w:r>
      <w:proofErr w:type="gramEnd"/>
      <w:r w:rsidR="003F453C">
        <w:rPr>
          <w:rFonts w:ascii="仿宋" w:eastAsia="仿宋" w:hAnsi="仿宋" w:hint="eastAsia"/>
          <w:sz w:val="32"/>
          <w:szCs w:val="32"/>
        </w:rPr>
        <w:t>账包含在验收内容内</w:t>
      </w:r>
      <w:r w:rsidRPr="007B0A09">
        <w:rPr>
          <w:rFonts w:ascii="仿宋" w:eastAsia="仿宋" w:hAnsi="仿宋" w:hint="eastAsia"/>
          <w:sz w:val="32"/>
          <w:szCs w:val="32"/>
        </w:rPr>
        <w:t>。</w:t>
      </w:r>
    </w:p>
    <w:p w:rsidR="00B03947" w:rsidRDefault="004B0DFF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投标方解决</w:t>
      </w:r>
      <w:r w:rsidR="00B03947">
        <w:rPr>
          <w:rFonts w:ascii="仿宋" w:eastAsia="仿宋" w:hAnsi="仿宋" w:hint="eastAsia"/>
          <w:sz w:val="32"/>
          <w:szCs w:val="32"/>
        </w:rPr>
        <w:t>设备</w:t>
      </w:r>
      <w:r w:rsidRPr="007B0A09">
        <w:rPr>
          <w:rFonts w:ascii="仿宋" w:eastAsia="仿宋" w:hAnsi="仿宋" w:hint="eastAsia"/>
          <w:sz w:val="32"/>
          <w:szCs w:val="32"/>
        </w:rPr>
        <w:t>出现所有故障及问题，同时需投标方</w:t>
      </w:r>
      <w:r w:rsidR="00B03947">
        <w:rPr>
          <w:rFonts w:ascii="仿宋" w:eastAsia="仿宋" w:hAnsi="仿宋" w:hint="eastAsia"/>
          <w:sz w:val="32"/>
          <w:szCs w:val="32"/>
        </w:rPr>
        <w:t>提供明确的故障处理内容及处理方案。</w:t>
      </w:r>
    </w:p>
    <w:p w:rsidR="00410732" w:rsidRDefault="004B0DFF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采购方其他项目的配合工作依据实际情况双方另行协商。</w:t>
      </w:r>
    </w:p>
    <w:p w:rsidR="00A8270E" w:rsidRDefault="00A8270E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投标方每日的工作内容应当天提交采购方审核</w:t>
      </w:r>
      <w:r w:rsidR="00C70F82">
        <w:rPr>
          <w:rFonts w:ascii="仿宋" w:eastAsia="仿宋" w:hAnsi="仿宋" w:hint="eastAsia"/>
          <w:sz w:val="32"/>
          <w:szCs w:val="32"/>
        </w:rPr>
        <w:t>，基本为提前申请或报备工作计划内容，完成后提交具体的检修内容及结果。</w:t>
      </w:r>
    </w:p>
    <w:p w:rsidR="00C70F82" w:rsidRDefault="00C70F82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投标方的所有工作由采购方签字验收后方视为合格。</w:t>
      </w:r>
    </w:p>
    <w:p w:rsidR="00C70F82" w:rsidRDefault="00C70F82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投标方有义务回答服务过程中采购方提出的任何问题。</w:t>
      </w:r>
    </w:p>
    <w:p w:rsidR="00C70F82" w:rsidRDefault="00C70F82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采购方有权对投标方的</w:t>
      </w:r>
      <w:r w:rsidR="003230B3">
        <w:rPr>
          <w:rFonts w:ascii="仿宋" w:eastAsia="仿宋" w:hAnsi="仿宋" w:hint="eastAsia"/>
          <w:sz w:val="32"/>
          <w:szCs w:val="32"/>
        </w:rPr>
        <w:t>服务内容</w:t>
      </w:r>
      <w:r>
        <w:rPr>
          <w:rFonts w:ascii="仿宋" w:eastAsia="仿宋" w:hAnsi="仿宋" w:hint="eastAsia"/>
          <w:sz w:val="32"/>
          <w:szCs w:val="32"/>
        </w:rPr>
        <w:t>提出建议</w:t>
      </w:r>
      <w:r w:rsidR="003230B3">
        <w:rPr>
          <w:rFonts w:ascii="仿宋" w:eastAsia="仿宋" w:hAnsi="仿宋" w:hint="eastAsia"/>
          <w:sz w:val="32"/>
          <w:szCs w:val="32"/>
        </w:rPr>
        <w:t>和意见</w:t>
      </w:r>
      <w:r>
        <w:rPr>
          <w:rFonts w:ascii="仿宋" w:eastAsia="仿宋" w:hAnsi="仿宋" w:hint="eastAsia"/>
          <w:sz w:val="32"/>
          <w:szCs w:val="32"/>
        </w:rPr>
        <w:t>，投标方应积极予以配合解决。</w:t>
      </w:r>
    </w:p>
    <w:p w:rsidR="00607F7D" w:rsidRPr="00A14A34" w:rsidRDefault="00C70F82" w:rsidP="002646AE">
      <w:pPr>
        <w:pStyle w:val="a9"/>
        <w:numPr>
          <w:ilvl w:val="0"/>
          <w:numId w:val="4"/>
        </w:numPr>
        <w:snapToGrid w:val="0"/>
        <w:spacing w:beforeLines="50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</w:t>
      </w:r>
      <w:r w:rsidR="007F4405">
        <w:rPr>
          <w:rFonts w:ascii="仿宋" w:eastAsia="仿宋" w:hAnsi="仿宋" w:hint="eastAsia"/>
          <w:sz w:val="32"/>
          <w:szCs w:val="32"/>
        </w:rPr>
        <w:t>投标方</w:t>
      </w:r>
      <w:r>
        <w:rPr>
          <w:rFonts w:ascii="仿宋" w:eastAsia="仿宋" w:hAnsi="仿宋" w:hint="eastAsia"/>
          <w:sz w:val="32"/>
          <w:szCs w:val="32"/>
        </w:rPr>
        <w:t>违反采购</w:t>
      </w:r>
      <w:proofErr w:type="gramStart"/>
      <w:r>
        <w:rPr>
          <w:rFonts w:ascii="仿宋" w:eastAsia="仿宋" w:hAnsi="仿宋" w:hint="eastAsia"/>
          <w:sz w:val="32"/>
          <w:szCs w:val="32"/>
        </w:rPr>
        <w:t>方相关</w:t>
      </w:r>
      <w:proofErr w:type="gramEnd"/>
      <w:r w:rsidR="003230B3">
        <w:rPr>
          <w:rFonts w:ascii="仿宋" w:eastAsia="仿宋" w:hAnsi="仿宋" w:hint="eastAsia"/>
          <w:sz w:val="32"/>
          <w:szCs w:val="32"/>
        </w:rPr>
        <w:t>规定，采购方有权叫停投标方的工作。</w:t>
      </w:r>
    </w:p>
    <w:p w:rsidR="00410732" w:rsidRDefault="00B03947" w:rsidP="002646AE">
      <w:pPr>
        <w:snapToGrid w:val="0"/>
        <w:spacing w:beforeLines="5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4B0DFF">
        <w:rPr>
          <w:rFonts w:ascii="仿宋" w:eastAsia="仿宋" w:hAnsi="仿宋" w:hint="eastAsia"/>
          <w:b/>
          <w:sz w:val="32"/>
          <w:szCs w:val="32"/>
        </w:rPr>
        <w:t>、质量要求</w:t>
      </w:r>
    </w:p>
    <w:p w:rsidR="00410732" w:rsidRDefault="004B0DFF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质量标准：投标方检修维护服务应符合法律法规规定的强制性标准，如无国家强制性标准应符合行业标准，如无行业标准，应符合经采购方审定的检修规程，并保证检修维护质量，能够满足采购方的运行需求。由于检修原因造成的故障及损失由投标方负责。采购方有权利对于投标方的检修质量进行审查。投标方应严格按操作规定使用检修设备，因使用操作不当而造成的故障及损失由投标方负责。</w:t>
      </w:r>
    </w:p>
    <w:p w:rsidR="00410732" w:rsidRDefault="004B0DFF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（二）投标方在</w:t>
      </w:r>
      <w:r w:rsidR="00607F7D">
        <w:rPr>
          <w:rFonts w:ascii="仿宋" w:eastAsia="仿宋" w:hAnsi="仿宋" w:hint="eastAsia"/>
          <w:sz w:val="32"/>
          <w:szCs w:val="32"/>
        </w:rPr>
        <w:t>喷漆设备</w:t>
      </w:r>
      <w:r>
        <w:rPr>
          <w:rFonts w:ascii="仿宋" w:eastAsia="仿宋" w:hAnsi="仿宋" w:hint="eastAsia"/>
          <w:sz w:val="32"/>
          <w:szCs w:val="32"/>
        </w:rPr>
        <w:t>出现安全性、可靠性出现风险时须提供书面报告。投标方对质量的控制应符合采购方的质量控制。</w:t>
      </w:r>
    </w:p>
    <w:p w:rsidR="00317AD8" w:rsidRPr="002646AE" w:rsidRDefault="00317AD8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lastRenderedPageBreak/>
        <w:t>（三）服务人员及单位资质要求</w:t>
      </w:r>
    </w:p>
    <w:p w:rsidR="00AE759A" w:rsidRPr="002646AE" w:rsidRDefault="00AE759A" w:rsidP="00AE75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1、对投标方要求</w:t>
      </w:r>
    </w:p>
    <w:p w:rsidR="00AE759A" w:rsidRPr="002646AE" w:rsidRDefault="00AE759A" w:rsidP="00AE75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投标方应为同类设备（含制造、安装、维修）专业化企业，具备独立法人资质，</w:t>
      </w:r>
      <w:r w:rsidRPr="002646AE">
        <w:rPr>
          <w:rFonts w:ascii="仿宋" w:eastAsia="仿宋" w:hAnsi="仿宋"/>
          <w:sz w:val="32"/>
          <w:szCs w:val="32"/>
        </w:rPr>
        <w:t>无不良资信记录。</w:t>
      </w:r>
      <w:r w:rsidRPr="002646AE">
        <w:rPr>
          <w:rFonts w:ascii="仿宋" w:eastAsia="仿宋" w:hAnsi="仿宋" w:hint="eastAsia"/>
          <w:sz w:val="32"/>
          <w:szCs w:val="32"/>
        </w:rPr>
        <w:t>具有同类型设备生产或维修经验，以及相关业绩。</w:t>
      </w:r>
    </w:p>
    <w:p w:rsidR="00AE759A" w:rsidRPr="002646AE" w:rsidRDefault="00AE759A" w:rsidP="00AE75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2、对人员组织架构</w:t>
      </w:r>
    </w:p>
    <w:p w:rsidR="00AE759A" w:rsidRPr="002646AE" w:rsidRDefault="00AE759A" w:rsidP="00AE75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本项目人员应包含管理人员、技术人员、执行人员等。投标方的人员安排应充分考虑招标方设备情况和人员配备情况，制定项目计划并服从招标方的管理，使项目得以顺利实施。</w:t>
      </w:r>
    </w:p>
    <w:p w:rsidR="00AE759A" w:rsidRPr="00746135" w:rsidRDefault="00AE759A" w:rsidP="00AE759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有特种作业要求的工种，必须有国家颁发的操作证，单人单证。</w:t>
      </w:r>
    </w:p>
    <w:p w:rsidR="00410732" w:rsidRDefault="004B0DFF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采购方</w:t>
      </w:r>
      <w:r w:rsidR="00FB00DB">
        <w:rPr>
          <w:rFonts w:ascii="仿宋" w:eastAsia="仿宋" w:hAnsi="仿宋" w:hint="eastAsia"/>
          <w:sz w:val="32"/>
          <w:szCs w:val="32"/>
        </w:rPr>
        <w:t>在服务期内</w:t>
      </w:r>
      <w:r>
        <w:rPr>
          <w:rFonts w:ascii="仿宋" w:eastAsia="仿宋" w:hAnsi="仿宋" w:hint="eastAsia"/>
          <w:sz w:val="32"/>
          <w:szCs w:val="32"/>
        </w:rPr>
        <w:t>发现</w:t>
      </w:r>
      <w:r>
        <w:rPr>
          <w:rFonts w:ascii="仿宋" w:eastAsia="仿宋" w:hAnsi="仿宋"/>
          <w:sz w:val="32"/>
          <w:szCs w:val="32"/>
        </w:rPr>
        <w:t>投标方人员不具备相应检修技术能力或有违纪违规现象的，</w:t>
      </w:r>
      <w:r>
        <w:rPr>
          <w:rFonts w:ascii="仿宋" w:eastAsia="仿宋" w:hAnsi="仿宋" w:hint="eastAsia"/>
          <w:sz w:val="32"/>
          <w:szCs w:val="32"/>
        </w:rPr>
        <w:t>采购方</w:t>
      </w:r>
      <w:r>
        <w:rPr>
          <w:rFonts w:ascii="仿宋" w:eastAsia="仿宋" w:hAnsi="仿宋"/>
          <w:sz w:val="32"/>
          <w:szCs w:val="32"/>
        </w:rPr>
        <w:t>有权</w:t>
      </w:r>
      <w:r>
        <w:rPr>
          <w:rFonts w:ascii="仿宋" w:eastAsia="仿宋" w:hAnsi="仿宋" w:hint="eastAsia"/>
          <w:sz w:val="32"/>
          <w:szCs w:val="32"/>
        </w:rPr>
        <w:t>要求投标方</w:t>
      </w:r>
      <w:r>
        <w:rPr>
          <w:rFonts w:ascii="仿宋" w:eastAsia="仿宋" w:hAnsi="仿宋"/>
          <w:sz w:val="32"/>
          <w:szCs w:val="32"/>
        </w:rPr>
        <w:t>更换</w:t>
      </w:r>
      <w:r>
        <w:rPr>
          <w:rFonts w:ascii="仿宋" w:eastAsia="仿宋" w:hAnsi="仿宋" w:hint="eastAsia"/>
          <w:sz w:val="32"/>
          <w:szCs w:val="32"/>
        </w:rPr>
        <w:t>相关人员</w:t>
      </w:r>
      <w:r>
        <w:rPr>
          <w:rFonts w:ascii="仿宋" w:eastAsia="仿宋" w:hAnsi="仿宋"/>
          <w:sz w:val="32"/>
          <w:szCs w:val="32"/>
        </w:rPr>
        <w:t>。</w:t>
      </w:r>
    </w:p>
    <w:p w:rsidR="00410732" w:rsidRDefault="004B0DFF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C0268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）其他要求</w:t>
      </w:r>
    </w:p>
    <w:p w:rsidR="00410732" w:rsidRDefault="004B0DFF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维修及保养服务期间，投标方的工资、食宿、交通、劳动保护及安全防护用品、办公用品等一切费用由投标方负责。</w:t>
      </w:r>
    </w:p>
    <w:p w:rsidR="00410732" w:rsidRDefault="004B0DFF" w:rsidP="002646AE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投标方</w:t>
      </w:r>
      <w:r w:rsidR="0061721E">
        <w:rPr>
          <w:rFonts w:ascii="仿宋" w:eastAsia="仿宋" w:hAnsi="仿宋" w:hint="eastAsia"/>
          <w:sz w:val="32"/>
          <w:szCs w:val="32"/>
        </w:rPr>
        <w:t>自行负责服务人员所有相关辅助及配套用品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10732" w:rsidRDefault="00410732" w:rsidP="003D6800">
      <w:pPr>
        <w:snapToGrid w:val="0"/>
        <w:spacing w:beforeLines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10732" w:rsidSect="00E6734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A2" w:rsidRDefault="00D931A2">
      <w:r>
        <w:separator/>
      </w:r>
    </w:p>
  </w:endnote>
  <w:endnote w:type="continuationSeparator" w:id="0">
    <w:p w:rsidR="00D931A2" w:rsidRDefault="00D9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678271"/>
    </w:sdtPr>
    <w:sdtContent>
      <w:sdt>
        <w:sdtPr>
          <w:id w:val="-121999142"/>
        </w:sdtPr>
        <w:sdtContent>
          <w:p w:rsidR="00410732" w:rsidRDefault="004B0D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3D68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D6800">
              <w:rPr>
                <w:b/>
                <w:bCs/>
                <w:sz w:val="24"/>
                <w:szCs w:val="24"/>
              </w:rPr>
              <w:fldChar w:fldCharType="separate"/>
            </w:r>
            <w:r w:rsidR="002646AE">
              <w:rPr>
                <w:b/>
                <w:bCs/>
                <w:noProof/>
              </w:rPr>
              <w:t>9</w:t>
            </w:r>
            <w:r w:rsidR="003D680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D68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D6800">
              <w:rPr>
                <w:b/>
                <w:bCs/>
                <w:sz w:val="24"/>
                <w:szCs w:val="24"/>
              </w:rPr>
              <w:fldChar w:fldCharType="separate"/>
            </w:r>
            <w:r w:rsidR="002646AE">
              <w:rPr>
                <w:b/>
                <w:bCs/>
                <w:noProof/>
              </w:rPr>
              <w:t>10</w:t>
            </w:r>
            <w:r w:rsidR="003D680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0732" w:rsidRDefault="004107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A2" w:rsidRDefault="00D931A2">
      <w:r>
        <w:separator/>
      </w:r>
    </w:p>
  </w:footnote>
  <w:footnote w:type="continuationSeparator" w:id="0">
    <w:p w:rsidR="00D931A2" w:rsidRDefault="00D93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22B92"/>
    <w:multiLevelType w:val="hybridMultilevel"/>
    <w:tmpl w:val="72048E1C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72264C"/>
    <w:multiLevelType w:val="hybridMultilevel"/>
    <w:tmpl w:val="72048E1C"/>
    <w:lvl w:ilvl="0" w:tplc="FFFFFFFF">
      <w:start w:val="1"/>
      <w:numFmt w:val="decimal"/>
      <w:lvlText w:val="%1)"/>
      <w:lvlJc w:val="left"/>
      <w:pPr>
        <w:ind w:left="1060" w:hanging="420"/>
      </w:p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B9E6CCA"/>
    <w:multiLevelType w:val="hybridMultilevel"/>
    <w:tmpl w:val="72048E1C"/>
    <w:lvl w:ilvl="0" w:tplc="FFFFFFFF">
      <w:start w:val="1"/>
      <w:numFmt w:val="decimal"/>
      <w:lvlText w:val="%1)"/>
      <w:lvlJc w:val="left"/>
      <w:pPr>
        <w:ind w:left="1060" w:hanging="420"/>
      </w:p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2E928BA"/>
    <w:multiLevelType w:val="hybridMultilevel"/>
    <w:tmpl w:val="95BA7B2A"/>
    <w:lvl w:ilvl="0" w:tplc="56020AE8">
      <w:start w:val="1"/>
      <w:numFmt w:val="decimal"/>
      <w:suff w:val="space"/>
      <w:lvlText w:val="%1)"/>
      <w:lvlJc w:val="left"/>
      <w:pPr>
        <w:ind w:left="106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AC9"/>
    <w:rsid w:val="EBBD7BCB"/>
    <w:rsid w:val="FFEC357C"/>
    <w:rsid w:val="00025714"/>
    <w:rsid w:val="0003729E"/>
    <w:rsid w:val="00062764"/>
    <w:rsid w:val="000A07FA"/>
    <w:rsid w:val="000A1156"/>
    <w:rsid w:val="000A2C7C"/>
    <w:rsid w:val="000A7394"/>
    <w:rsid w:val="000E0DDC"/>
    <w:rsid w:val="000E1EF7"/>
    <w:rsid w:val="000F5DE7"/>
    <w:rsid w:val="00104435"/>
    <w:rsid w:val="00111FCE"/>
    <w:rsid w:val="00113A0D"/>
    <w:rsid w:val="0011474E"/>
    <w:rsid w:val="00120EC5"/>
    <w:rsid w:val="00122727"/>
    <w:rsid w:val="001338C4"/>
    <w:rsid w:val="00146AB2"/>
    <w:rsid w:val="0016042F"/>
    <w:rsid w:val="00160B03"/>
    <w:rsid w:val="00162597"/>
    <w:rsid w:val="00192C7B"/>
    <w:rsid w:val="00194F27"/>
    <w:rsid w:val="00197E8E"/>
    <w:rsid w:val="001C5503"/>
    <w:rsid w:val="001D2EF9"/>
    <w:rsid w:val="001E0A96"/>
    <w:rsid w:val="001E0F42"/>
    <w:rsid w:val="00207DBA"/>
    <w:rsid w:val="0026188B"/>
    <w:rsid w:val="002646AE"/>
    <w:rsid w:val="00275AE2"/>
    <w:rsid w:val="00281873"/>
    <w:rsid w:val="002976FB"/>
    <w:rsid w:val="0029794A"/>
    <w:rsid w:val="002A06B4"/>
    <w:rsid w:val="002A7244"/>
    <w:rsid w:val="002C0268"/>
    <w:rsid w:val="002C04E3"/>
    <w:rsid w:val="002C29A6"/>
    <w:rsid w:val="002F50C5"/>
    <w:rsid w:val="00306DFF"/>
    <w:rsid w:val="00313C95"/>
    <w:rsid w:val="00317AD8"/>
    <w:rsid w:val="003230B3"/>
    <w:rsid w:val="0035388D"/>
    <w:rsid w:val="003709EF"/>
    <w:rsid w:val="0037319B"/>
    <w:rsid w:val="0038396C"/>
    <w:rsid w:val="00383B21"/>
    <w:rsid w:val="003B7231"/>
    <w:rsid w:val="003D6498"/>
    <w:rsid w:val="003D6800"/>
    <w:rsid w:val="003E4ACE"/>
    <w:rsid w:val="003F453C"/>
    <w:rsid w:val="00410732"/>
    <w:rsid w:val="004129C1"/>
    <w:rsid w:val="004208E6"/>
    <w:rsid w:val="004240B9"/>
    <w:rsid w:val="00433F10"/>
    <w:rsid w:val="00435FA7"/>
    <w:rsid w:val="0044076A"/>
    <w:rsid w:val="004410F2"/>
    <w:rsid w:val="00446E07"/>
    <w:rsid w:val="0049024E"/>
    <w:rsid w:val="004979C6"/>
    <w:rsid w:val="004A2C11"/>
    <w:rsid w:val="004A60B9"/>
    <w:rsid w:val="004B0DFF"/>
    <w:rsid w:val="004B5763"/>
    <w:rsid w:val="004C503E"/>
    <w:rsid w:val="004D62A6"/>
    <w:rsid w:val="004F5E87"/>
    <w:rsid w:val="00530DAE"/>
    <w:rsid w:val="00540003"/>
    <w:rsid w:val="005413EF"/>
    <w:rsid w:val="00544947"/>
    <w:rsid w:val="005472CA"/>
    <w:rsid w:val="00572A30"/>
    <w:rsid w:val="005A3085"/>
    <w:rsid w:val="005B6254"/>
    <w:rsid w:val="005D623F"/>
    <w:rsid w:val="00607F7D"/>
    <w:rsid w:val="006100E1"/>
    <w:rsid w:val="00612167"/>
    <w:rsid w:val="00613188"/>
    <w:rsid w:val="0061721E"/>
    <w:rsid w:val="00630643"/>
    <w:rsid w:val="00630F00"/>
    <w:rsid w:val="006310E2"/>
    <w:rsid w:val="00645D93"/>
    <w:rsid w:val="00661646"/>
    <w:rsid w:val="006640D1"/>
    <w:rsid w:val="00694AF5"/>
    <w:rsid w:val="006A5E6B"/>
    <w:rsid w:val="006F0553"/>
    <w:rsid w:val="007042A5"/>
    <w:rsid w:val="00720906"/>
    <w:rsid w:val="00732906"/>
    <w:rsid w:val="007368DB"/>
    <w:rsid w:val="00736932"/>
    <w:rsid w:val="00742590"/>
    <w:rsid w:val="00747A39"/>
    <w:rsid w:val="00791121"/>
    <w:rsid w:val="007A4AE7"/>
    <w:rsid w:val="007B0A09"/>
    <w:rsid w:val="007C23CB"/>
    <w:rsid w:val="007C7496"/>
    <w:rsid w:val="007E3507"/>
    <w:rsid w:val="007F4405"/>
    <w:rsid w:val="007F4D42"/>
    <w:rsid w:val="007F7297"/>
    <w:rsid w:val="008117D2"/>
    <w:rsid w:val="00812BBE"/>
    <w:rsid w:val="008306E0"/>
    <w:rsid w:val="008372D7"/>
    <w:rsid w:val="00837E7D"/>
    <w:rsid w:val="00842FF5"/>
    <w:rsid w:val="008451CC"/>
    <w:rsid w:val="0085467D"/>
    <w:rsid w:val="0085779B"/>
    <w:rsid w:val="0086224B"/>
    <w:rsid w:val="008633DA"/>
    <w:rsid w:val="00895C17"/>
    <w:rsid w:val="008A6734"/>
    <w:rsid w:val="008B6273"/>
    <w:rsid w:val="008C240C"/>
    <w:rsid w:val="008C7970"/>
    <w:rsid w:val="00904185"/>
    <w:rsid w:val="00933A7F"/>
    <w:rsid w:val="00934194"/>
    <w:rsid w:val="00954884"/>
    <w:rsid w:val="00961576"/>
    <w:rsid w:val="00971562"/>
    <w:rsid w:val="009909BC"/>
    <w:rsid w:val="009955A5"/>
    <w:rsid w:val="009A7A46"/>
    <w:rsid w:val="009C2D2E"/>
    <w:rsid w:val="009D3B8F"/>
    <w:rsid w:val="009D4F35"/>
    <w:rsid w:val="009D73B5"/>
    <w:rsid w:val="009E2A63"/>
    <w:rsid w:val="00A07C22"/>
    <w:rsid w:val="00A14A34"/>
    <w:rsid w:val="00A260DC"/>
    <w:rsid w:val="00A52A59"/>
    <w:rsid w:val="00A638A2"/>
    <w:rsid w:val="00A64768"/>
    <w:rsid w:val="00A70B9D"/>
    <w:rsid w:val="00A74E26"/>
    <w:rsid w:val="00A8270E"/>
    <w:rsid w:val="00A9507B"/>
    <w:rsid w:val="00AA5932"/>
    <w:rsid w:val="00AB6D6F"/>
    <w:rsid w:val="00AC0CBC"/>
    <w:rsid w:val="00AD1041"/>
    <w:rsid w:val="00AD7C43"/>
    <w:rsid w:val="00AE759A"/>
    <w:rsid w:val="00AF6297"/>
    <w:rsid w:val="00B03947"/>
    <w:rsid w:val="00B423DF"/>
    <w:rsid w:val="00B61B08"/>
    <w:rsid w:val="00B858A8"/>
    <w:rsid w:val="00BB2416"/>
    <w:rsid w:val="00BB5D7C"/>
    <w:rsid w:val="00BB7F4E"/>
    <w:rsid w:val="00BC44DE"/>
    <w:rsid w:val="00BD0EC0"/>
    <w:rsid w:val="00BD7171"/>
    <w:rsid w:val="00BF347F"/>
    <w:rsid w:val="00C0677F"/>
    <w:rsid w:val="00C10BA2"/>
    <w:rsid w:val="00C47B9E"/>
    <w:rsid w:val="00C7061C"/>
    <w:rsid w:val="00C70F82"/>
    <w:rsid w:val="00C86086"/>
    <w:rsid w:val="00CC0B76"/>
    <w:rsid w:val="00CF750B"/>
    <w:rsid w:val="00D00060"/>
    <w:rsid w:val="00D0086A"/>
    <w:rsid w:val="00D061CD"/>
    <w:rsid w:val="00D128E8"/>
    <w:rsid w:val="00D17E8F"/>
    <w:rsid w:val="00D21AA6"/>
    <w:rsid w:val="00D2628F"/>
    <w:rsid w:val="00D45D6B"/>
    <w:rsid w:val="00D54D57"/>
    <w:rsid w:val="00D56100"/>
    <w:rsid w:val="00D56DDD"/>
    <w:rsid w:val="00D62619"/>
    <w:rsid w:val="00D626B2"/>
    <w:rsid w:val="00D705CD"/>
    <w:rsid w:val="00D725AC"/>
    <w:rsid w:val="00D8129A"/>
    <w:rsid w:val="00D8217D"/>
    <w:rsid w:val="00D86A58"/>
    <w:rsid w:val="00D931A2"/>
    <w:rsid w:val="00DA7A31"/>
    <w:rsid w:val="00DB61D8"/>
    <w:rsid w:val="00DC1DCC"/>
    <w:rsid w:val="00DD04D6"/>
    <w:rsid w:val="00DD29BF"/>
    <w:rsid w:val="00DD3D98"/>
    <w:rsid w:val="00DE0E16"/>
    <w:rsid w:val="00DE39DC"/>
    <w:rsid w:val="00DF00EB"/>
    <w:rsid w:val="00E03615"/>
    <w:rsid w:val="00E16128"/>
    <w:rsid w:val="00E20752"/>
    <w:rsid w:val="00E24C63"/>
    <w:rsid w:val="00E45AC9"/>
    <w:rsid w:val="00E60D6D"/>
    <w:rsid w:val="00E67346"/>
    <w:rsid w:val="00E8085E"/>
    <w:rsid w:val="00EA0B1E"/>
    <w:rsid w:val="00EA0F38"/>
    <w:rsid w:val="00EC0A06"/>
    <w:rsid w:val="00EE6D59"/>
    <w:rsid w:val="00EF5B08"/>
    <w:rsid w:val="00F13138"/>
    <w:rsid w:val="00F2080B"/>
    <w:rsid w:val="00F22B6C"/>
    <w:rsid w:val="00F2450A"/>
    <w:rsid w:val="00F24D37"/>
    <w:rsid w:val="00F25A8C"/>
    <w:rsid w:val="00F31E2F"/>
    <w:rsid w:val="00F45BAB"/>
    <w:rsid w:val="00F467C7"/>
    <w:rsid w:val="00F966EB"/>
    <w:rsid w:val="00FB00DB"/>
    <w:rsid w:val="00FC7462"/>
    <w:rsid w:val="00FD2AF9"/>
    <w:rsid w:val="00FD6371"/>
    <w:rsid w:val="09F553EA"/>
    <w:rsid w:val="2ADB71FC"/>
    <w:rsid w:val="6C43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67346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E673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7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7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E67346"/>
    <w:rPr>
      <w:b/>
      <w:bCs/>
    </w:rPr>
  </w:style>
  <w:style w:type="character" w:styleId="a8">
    <w:name w:val="annotation reference"/>
    <w:basedOn w:val="a0"/>
    <w:uiPriority w:val="99"/>
    <w:unhideWhenUsed/>
    <w:qFormat/>
    <w:rsid w:val="00E67346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E67346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E6734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73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6734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67346"/>
  </w:style>
  <w:style w:type="character" w:customStyle="1" w:styleId="Char3">
    <w:name w:val="批注主题 Char"/>
    <w:basedOn w:val="Char"/>
    <w:link w:val="a7"/>
    <w:uiPriority w:val="99"/>
    <w:semiHidden/>
    <w:qFormat/>
    <w:rsid w:val="00E67346"/>
    <w:rPr>
      <w:b/>
      <w:bCs/>
    </w:rPr>
  </w:style>
  <w:style w:type="paragraph" w:styleId="a9">
    <w:name w:val="List Paragraph"/>
    <w:basedOn w:val="a"/>
    <w:uiPriority w:val="99"/>
    <w:rsid w:val="006A5E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790AF0-1AAB-4811-A1E3-AF313B69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517</Words>
  <Characters>2949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28</cp:revision>
  <cp:lastPrinted>2022-02-15T14:50:00Z</cp:lastPrinted>
  <dcterms:created xsi:type="dcterms:W3CDTF">2022-05-31T03:04:00Z</dcterms:created>
  <dcterms:modified xsi:type="dcterms:W3CDTF">2022-06-30T07:24:00Z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F88FFC36AC0C4670ACF610C724E6B4A5</vt:lpwstr>
  </property>
</Properties>
</file>